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6" w:type="dxa"/>
        <w:tblLayout w:type="fixed"/>
        <w:tblCellMar>
          <w:left w:w="10" w:type="dxa"/>
          <w:right w:w="10" w:type="dxa"/>
        </w:tblCellMar>
        <w:tblLook w:val="0000" w:firstRow="0" w:lastRow="0" w:firstColumn="0" w:lastColumn="0" w:noHBand="0" w:noVBand="0"/>
      </w:tblPr>
      <w:tblGrid>
        <w:gridCol w:w="2234"/>
        <w:gridCol w:w="6095"/>
        <w:gridCol w:w="2127"/>
      </w:tblGrid>
      <w:tr w:rsidR="00AA01B2" w:rsidTr="00AA01B2">
        <w:trPr>
          <w:trHeight w:val="990"/>
        </w:trPr>
        <w:tc>
          <w:tcPr>
            <w:tcW w:w="22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A01B2" w:rsidRDefault="00AA01B2" w:rsidP="00923972">
            <w:pPr>
              <w:pStyle w:val="Standard"/>
              <w:jc w:val="center"/>
            </w:pPr>
            <w:r>
              <w:rPr>
                <w:noProof/>
              </w:rPr>
              <w:drawing>
                <wp:inline distT="0" distB="0" distL="0" distR="0" wp14:anchorId="1EA027E2" wp14:editId="0126BB62">
                  <wp:extent cx="1235159" cy="619503"/>
                  <wp:effectExtent l="0" t="0" r="3175" b="9525"/>
                  <wp:docPr id="4" name="Imag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5159" cy="619503"/>
                          </a:xfrm>
                          <a:prstGeom prst="rect">
                            <a:avLst/>
                          </a:prstGeom>
                          <a:noFill/>
                          <a:ln>
                            <a:noFill/>
                            <a:prstDash/>
                          </a:ln>
                        </pic:spPr>
                      </pic:pic>
                    </a:graphicData>
                  </a:graphic>
                </wp:inline>
              </w:drawing>
            </w:r>
          </w:p>
        </w:tc>
        <w:tc>
          <w:tcPr>
            <w:tcW w:w="6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01B2" w:rsidRPr="00AA01B2" w:rsidRDefault="00AA01B2" w:rsidP="00AA01B2">
            <w:pPr>
              <w:pStyle w:val="Standard"/>
              <w:jc w:val="center"/>
            </w:pPr>
            <w:r>
              <w:rPr>
                <w:b/>
                <w:bCs/>
              </w:rPr>
              <w:t>Technologie au cycle 4 - Classe de 5</w:t>
            </w:r>
            <w:r>
              <w:rPr>
                <w:b/>
                <w:bCs/>
                <w:vertAlign w:val="superscript"/>
              </w:rPr>
              <w:t>e</w:t>
            </w:r>
          </w:p>
          <w:p w:rsidR="00AA01B2" w:rsidRDefault="00AA01B2" w:rsidP="00923972">
            <w:pPr>
              <w:pStyle w:val="Standard"/>
              <w:jc w:val="center"/>
              <w:rPr>
                <w:b/>
                <w:bCs/>
                <w:sz w:val="28"/>
              </w:rPr>
            </w:pPr>
            <w:r>
              <w:rPr>
                <w:b/>
                <w:bCs/>
                <w:sz w:val="28"/>
              </w:rPr>
              <w:t>Pourquoi une structure ne s’effondre-t-elle pas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01B2" w:rsidRDefault="00AA01B2" w:rsidP="00923972">
            <w:pPr>
              <w:pStyle w:val="Standard"/>
              <w:jc w:val="center"/>
            </w:pPr>
            <w:r>
              <w:rPr>
                <w:noProof/>
              </w:rPr>
              <w:drawing>
                <wp:inline distT="0" distB="0" distL="0" distR="0" wp14:anchorId="45EF4D82" wp14:editId="087D42D5">
                  <wp:extent cx="1219320" cy="527010"/>
                  <wp:effectExtent l="0" t="0" r="0" b="6985"/>
                  <wp:docPr id="5"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320" cy="527010"/>
                          </a:xfrm>
                          <a:prstGeom prst="rect">
                            <a:avLst/>
                          </a:prstGeom>
                          <a:noFill/>
                          <a:ln>
                            <a:noFill/>
                            <a:prstDash/>
                          </a:ln>
                        </pic:spPr>
                      </pic:pic>
                    </a:graphicData>
                  </a:graphic>
                </wp:inline>
              </w:drawing>
            </w:r>
          </w:p>
        </w:tc>
      </w:tr>
    </w:tbl>
    <w:p w:rsidR="00AA01B2" w:rsidRDefault="00AA01B2" w:rsidP="00AA01B2">
      <w:pPr>
        <w:pStyle w:val="Standard"/>
        <w:spacing w:after="0"/>
      </w:pPr>
      <w:r>
        <w:rPr>
          <w:rFonts w:ascii="Times New Roman" w:hAnsi="Times New Roman"/>
          <w:color w:val="0000FF"/>
          <w:sz w:val="20"/>
          <w:szCs w:val="20"/>
        </w:rPr>
        <w:t>CS 1.8 : Utiliser une modélisation pour comprendre, formaliser, partager, construire, investiguer, prouver.</w:t>
      </w:r>
    </w:p>
    <w:p w:rsidR="00AA01B2" w:rsidRDefault="00AA01B2" w:rsidP="00AA01B2">
      <w:pPr>
        <w:pStyle w:val="Standard"/>
        <w:spacing w:after="0"/>
      </w:pPr>
      <w:r>
        <w:rPr>
          <w:rFonts w:ascii="TimesNewRomanPSMT" w:hAnsi="TimesNewRomanPSMT"/>
          <w:color w:val="0000FF"/>
          <w:sz w:val="20"/>
          <w:szCs w:val="20"/>
        </w:rPr>
        <w:t>CT 5.1 : Simuler numériquement la structure et/ou le comportement d’un objet.</w:t>
      </w:r>
    </w:p>
    <w:p w:rsidR="00AA01B2" w:rsidRDefault="00AA01B2" w:rsidP="00AA01B2">
      <w:pPr>
        <w:pStyle w:val="Standard"/>
        <w:spacing w:after="0"/>
      </w:pPr>
      <w:r>
        <w:rPr>
          <w:rFonts w:ascii="Times New Roman" w:hAnsi="Times New Roman"/>
          <w:color w:val="0000FF"/>
          <w:sz w:val="20"/>
          <w:szCs w:val="20"/>
        </w:rPr>
        <w:t>CT 5.3 : Lire, utiliser et produire des représentations numériques d’objets.</w:t>
      </w:r>
    </w:p>
    <w:p w:rsidR="009B1640" w:rsidRDefault="009B1640">
      <w:pPr>
        <w:pStyle w:val="Standard"/>
        <w:spacing w:after="0"/>
        <w:jc w:val="center"/>
        <w:rPr>
          <w:rFonts w:ascii="Cambria" w:hAnsi="Cambria"/>
          <w:b/>
          <w:color w:val="FF0000"/>
          <w:sz w:val="20"/>
          <w:szCs w:val="36"/>
        </w:rPr>
      </w:pPr>
    </w:p>
    <w:p w:rsidR="009B1640" w:rsidRPr="00AA01B2" w:rsidRDefault="00537CE7">
      <w:pPr>
        <w:pStyle w:val="Standard"/>
        <w:spacing w:after="0"/>
        <w:jc w:val="center"/>
        <w:rPr>
          <w:rFonts w:ascii="Cambria" w:hAnsi="Cambria"/>
          <w:b/>
          <w:color w:val="FF0000"/>
          <w:sz w:val="48"/>
          <w:szCs w:val="36"/>
        </w:rPr>
      </w:pPr>
      <w:r w:rsidRPr="00AA01B2">
        <w:rPr>
          <w:rFonts w:ascii="Cambria" w:hAnsi="Cambria"/>
          <w:b/>
          <w:color w:val="FF0000"/>
          <w:sz w:val="48"/>
          <w:szCs w:val="36"/>
        </w:rPr>
        <w:t>Bilan de l’activité 3 - Fiche élève</w:t>
      </w:r>
    </w:p>
    <w:p w:rsidR="009B1640" w:rsidRPr="00AA01B2" w:rsidRDefault="009B1640">
      <w:pPr>
        <w:pStyle w:val="Standard"/>
        <w:spacing w:after="0"/>
        <w:jc w:val="center"/>
        <w:rPr>
          <w:rFonts w:ascii="Cambria" w:hAnsi="Cambria"/>
          <w:b/>
          <w:color w:val="FF0000"/>
          <w:sz w:val="18"/>
          <w:szCs w:val="36"/>
        </w:rPr>
      </w:pPr>
    </w:p>
    <w:p w:rsidR="009B1640" w:rsidRPr="00AA01B2" w:rsidRDefault="00537CE7" w:rsidP="00AA01B2">
      <w:pPr>
        <w:pStyle w:val="Standard"/>
        <w:jc w:val="center"/>
        <w:rPr>
          <w:color w:val="FF0000"/>
        </w:rPr>
      </w:pPr>
      <w:r w:rsidRPr="00AA01B2">
        <w:rPr>
          <w:b/>
          <w:color w:val="FF0000"/>
          <w:sz w:val="40"/>
          <w:szCs w:val="40"/>
        </w:rPr>
        <w:t>La simulation numérique de la résistance d’un pont</w:t>
      </w:r>
    </w:p>
    <w:p w:rsidR="009B1640" w:rsidRDefault="00537CE7">
      <w:pPr>
        <w:pStyle w:val="Standard"/>
        <w:jc w:val="both"/>
      </w:pPr>
      <w:r>
        <w:t xml:space="preserve">Nous avions à concevoir un pont permettant le passage d’un camion. Pour cela nous avons utilisé un </w:t>
      </w:r>
      <w:r>
        <w:rPr>
          <w:b/>
          <w:bCs/>
        </w:rPr>
        <w:t>logiciel de simulation</w:t>
      </w:r>
      <w:r>
        <w:t>.</w:t>
      </w:r>
    </w:p>
    <w:p w:rsidR="009B1640" w:rsidRDefault="00537CE7">
      <w:pPr>
        <w:pStyle w:val="Standard"/>
        <w:jc w:val="both"/>
      </w:pPr>
      <w:r>
        <w:t>Nous avons pu voir que le choix de la forme et de la dimension de la section des barres, modifie la résistance du pont : plus la sec</w:t>
      </w:r>
      <w:r>
        <w:t>tion est grande, plus le pont supporte une charge importante. Si ce choix est mal évalué, on peut également constater que le pont cède sous son propre poids.</w:t>
      </w:r>
    </w:p>
    <w:p w:rsidR="009B1640" w:rsidRDefault="00537CE7">
      <w:pPr>
        <w:pStyle w:val="Standard"/>
        <w:jc w:val="center"/>
      </w:pPr>
      <w:r>
        <w:rPr>
          <w:noProof/>
        </w:rPr>
        <w:drawing>
          <wp:inline distT="0" distB="0" distL="0" distR="0">
            <wp:extent cx="4375797" cy="2758315"/>
            <wp:effectExtent l="0" t="0" r="5703" b="3935"/>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4375797" cy="2758315"/>
                    </a:xfrm>
                    <a:prstGeom prst="rect">
                      <a:avLst/>
                    </a:prstGeom>
                    <a:noFill/>
                    <a:ln>
                      <a:noFill/>
                      <a:prstDash/>
                    </a:ln>
                  </pic:spPr>
                </pic:pic>
              </a:graphicData>
            </a:graphic>
          </wp:inline>
        </w:drawing>
      </w:r>
    </w:p>
    <w:p w:rsidR="009B1640" w:rsidRDefault="00537CE7">
      <w:pPr>
        <w:pStyle w:val="Standard"/>
        <w:jc w:val="both"/>
      </w:pPr>
      <w:r>
        <w:t xml:space="preserve">De plus, la dimension des éléments impacte également le coût de réalisation de l’ouvrage : plus </w:t>
      </w:r>
      <w:r>
        <w:t>les pièces du pont sont de section importante, plus la quantité de matériaux utilisée augmente, c’est pour cela que le coût augmente. Le travail de conception doit donc permettre le bon équilibre entre résistance à la rupture et coût de réalisation, afin d</w:t>
      </w:r>
      <w:r>
        <w:t>e respecter les contraintes d’utilisation et les contraintes économiques.</w:t>
      </w:r>
    </w:p>
    <w:p w:rsidR="009B1640" w:rsidRDefault="009B1640">
      <w:pPr>
        <w:pStyle w:val="Standard"/>
      </w:pPr>
      <w:bookmarkStart w:id="0" w:name="_GoBack"/>
      <w:bookmarkEnd w:id="0"/>
    </w:p>
    <w:sectPr w:rsidR="009B1640">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CE7" w:rsidRDefault="00537CE7">
      <w:r>
        <w:separator/>
      </w:r>
    </w:p>
  </w:endnote>
  <w:endnote w:type="continuationSeparator" w:id="0">
    <w:p w:rsidR="00537CE7" w:rsidRDefault="0053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CE7" w:rsidRDefault="00537CE7">
      <w:r>
        <w:rPr>
          <w:color w:val="000000"/>
        </w:rPr>
        <w:separator/>
      </w:r>
    </w:p>
  </w:footnote>
  <w:footnote w:type="continuationSeparator" w:id="0">
    <w:p w:rsidR="00537CE7" w:rsidRDefault="00537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33F6"/>
    <w:multiLevelType w:val="multilevel"/>
    <w:tmpl w:val="4BD8F9A6"/>
    <w:styleLink w:val="WWNum3"/>
    <w:lvl w:ilvl="0">
      <w:numFmt w:val="bullet"/>
      <w:lvlText w:val="-"/>
      <w:lvlJc w:val="left"/>
      <w:pPr>
        <w:ind w:left="720" w:hanging="360"/>
      </w:pPr>
      <w:rPr>
        <w:rFonts w:ascii="Arial" w:eastAsia="Calibri" w:hAnsi="Arial" w:cs="Tahoma"/>
        <w:b/>
        <w:sz w:val="24"/>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04654CC5"/>
    <w:multiLevelType w:val="multilevel"/>
    <w:tmpl w:val="D7BE2FCA"/>
    <w:styleLink w:val="WWNum1"/>
    <w:lvl w:ilvl="0">
      <w:start w:val="1"/>
      <w:numFmt w:val="decimal"/>
      <w:lvlText w:val="%1-"/>
      <w:lvlJc w:val="left"/>
      <w:pPr>
        <w:ind w:left="720" w:hanging="360"/>
      </w:pPr>
      <w:rPr>
        <w:b/>
        <w:i/>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795CBE"/>
    <w:multiLevelType w:val="multilevel"/>
    <w:tmpl w:val="79E0FE36"/>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47D32156"/>
    <w:multiLevelType w:val="multilevel"/>
    <w:tmpl w:val="53E4C89C"/>
    <w:styleLink w:val="WWNum5"/>
    <w:lvl w:ilvl="0">
      <w:numFmt w:val="bullet"/>
      <w:lvlText w:val="-"/>
      <w:lvlJc w:val="left"/>
      <w:pPr>
        <w:ind w:left="720" w:hanging="360"/>
      </w:pPr>
      <w:rPr>
        <w:rFonts w:ascii="Cambria" w:eastAsia="Calibri" w:hAnsi="Cambria" w:cs="Tahoma"/>
        <w:sz w:val="24"/>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5DB35C80"/>
    <w:multiLevelType w:val="multilevel"/>
    <w:tmpl w:val="D8F6D6C0"/>
    <w:styleLink w:val="WWNum2"/>
    <w:lvl w:ilvl="0">
      <w:start w:val="1"/>
      <w:numFmt w:val="decimal"/>
      <w:lvlText w:val="%1-"/>
      <w:lvlJc w:val="left"/>
      <w:pPr>
        <w:ind w:left="720" w:hanging="360"/>
      </w:pPr>
      <w:rPr>
        <w:b/>
        <w:i/>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8EB17C7"/>
    <w:multiLevelType w:val="multilevel"/>
    <w:tmpl w:val="BAB8B216"/>
    <w:styleLink w:val="WWNum4"/>
    <w:lvl w:ilvl="0">
      <w:numFmt w:val="bullet"/>
      <w:lvlText w:val="-"/>
      <w:lvlJc w:val="left"/>
      <w:pPr>
        <w:ind w:left="720" w:hanging="360"/>
      </w:pPr>
      <w:rPr>
        <w:rFonts w:ascii="Cambria" w:eastAsia="Calibri" w:hAnsi="Cambria" w:cs="Tahoma"/>
        <w:sz w:val="24"/>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B1640"/>
    <w:rsid w:val="00537CE7"/>
    <w:rsid w:val="006C2488"/>
    <w:rsid w:val="009600AE"/>
    <w:rsid w:val="009B1640"/>
    <w:rsid w:val="00AA01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92B6"/>
  <w15:docId w15:val="{75430264-521B-4C7F-BD88-D3CCF598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pPr>
      <w:suppressAutoHyphens/>
    </w:pPr>
    <w:rPr>
      <w:rFonts w:ascii="Times New Roman" w:eastAsia="Times New Roman" w:hAnsi="Times New Roman" w:cs="Calibri"/>
      <w:color w:val="000000"/>
      <w:sz w:val="20"/>
      <w:szCs w:val="20"/>
      <w:lang w:eastAsia="fr-FR"/>
    </w:rPr>
  </w:style>
  <w:style w:type="paragraph" w:styleId="Textedebulles">
    <w:name w:val="Balloon Text"/>
    <w:basedOn w:val="Standard"/>
    <w:pPr>
      <w:spacing w:after="0" w:line="240" w:lineRule="auto"/>
    </w:pPr>
    <w:rPr>
      <w:rFonts w:ascii="Tahoma" w:eastAsia="Tahoma" w:hAnsi="Tahoma" w:cs="Tahoma"/>
      <w:sz w:val="16"/>
      <w:szCs w:val="16"/>
    </w:rPr>
  </w:style>
  <w:style w:type="paragraph" w:styleId="Paragraphedeliste">
    <w:name w:val="List Paragraph"/>
    <w:basedOn w:val="Standard"/>
    <w:pPr>
      <w:ind w:left="72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TextedebullesCar">
    <w:name w:val="Texte de bulles Car"/>
    <w:basedOn w:val="Policepardfaut"/>
    <w:rPr>
      <w:rFonts w:ascii="Tahoma" w:eastAsia="Tahoma" w:hAnsi="Tahoma" w:cs="Tahoma"/>
      <w:sz w:val="16"/>
      <w:szCs w:val="16"/>
    </w:rPr>
  </w:style>
  <w:style w:type="character" w:customStyle="1" w:styleId="ListLabel1">
    <w:name w:val="ListLabel 1"/>
    <w:rPr>
      <w:b/>
      <w:i/>
      <w:u w:val="single"/>
    </w:rPr>
  </w:style>
  <w:style w:type="character" w:customStyle="1" w:styleId="ListLabel2">
    <w:name w:val="ListLabel 2"/>
    <w:rPr>
      <w:b/>
      <w:i/>
      <w:u w:val="single"/>
    </w:rPr>
  </w:style>
  <w:style w:type="character" w:customStyle="1" w:styleId="ListLabel3">
    <w:name w:val="ListLabel 3"/>
    <w:rPr>
      <w:rFonts w:ascii="Arial" w:eastAsia="Calibri" w:hAnsi="Arial" w:cs="Tahoma"/>
      <w:b/>
      <w:sz w:val="24"/>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ascii="Cambria" w:eastAsia="Calibri" w:hAnsi="Cambria" w:cs="Tahoma"/>
      <w:sz w:val="24"/>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ascii="Cambria" w:eastAsia="Calibri" w:hAnsi="Cambria" w:cs="Tahoma"/>
      <w:sz w:val="24"/>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numbering" w:customStyle="1" w:styleId="NoList">
    <w:name w:val="No List"/>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numbering" w:customStyle="1" w:styleId="WWNum3">
    <w:name w:val="WWNum3"/>
    <w:basedOn w:val="Aucuneliste"/>
    <w:pPr>
      <w:numPr>
        <w:numId w:val="4"/>
      </w:numPr>
    </w:pPr>
  </w:style>
  <w:style w:type="numbering" w:customStyle="1" w:styleId="WWNum4">
    <w:name w:val="WWNum4"/>
    <w:basedOn w:val="Aucuneliste"/>
    <w:pPr>
      <w:numPr>
        <w:numId w:val="5"/>
      </w:numPr>
    </w:pPr>
  </w:style>
  <w:style w:type="numbering" w:customStyle="1" w:styleId="WWNum5">
    <w:name w:val="WWNum5"/>
    <w:basedOn w:val="Aucunelist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Universite Clermont Auvergne</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Simon LESCHIERA</cp:lastModifiedBy>
  <cp:revision>2</cp:revision>
  <dcterms:created xsi:type="dcterms:W3CDTF">2021-11-23T15:00:00Z</dcterms:created>
  <dcterms:modified xsi:type="dcterms:W3CDTF">2021-11-23T15:00:00Z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